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E588E" w14:textId="7E367922" w:rsidR="006F2796"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Características</w:t>
      </w:r>
    </w:p>
    <w:p w14:paraId="2D977CD9" w14:textId="77777777" w:rsidR="00FB6CD4" w:rsidRPr="00FB6CD4" w:rsidRDefault="00FB6CD4" w:rsidP="00FB6CD4">
      <w:pPr>
        <w:pStyle w:val="Prrafodelista"/>
        <w:spacing w:line="360" w:lineRule="auto"/>
        <w:jc w:val="both"/>
        <w:rPr>
          <w:rFonts w:ascii="Humanst521 BT" w:hAnsi="Humanst521 BT"/>
          <w:sz w:val="24"/>
          <w:szCs w:val="24"/>
        </w:rPr>
      </w:pPr>
      <w:r w:rsidRPr="00FB6CD4">
        <w:rPr>
          <w:rFonts w:ascii="Humanst521 BT" w:hAnsi="Humanst521 BT"/>
          <w:sz w:val="24"/>
          <w:szCs w:val="24"/>
        </w:rPr>
        <w:t>El modelo de madurez para la gestión de respuesta a incidentes (IRM3) se centra en evaluar y mejorar las capacidades de respuesta a incidentes en organizaciones.</w:t>
      </w:r>
    </w:p>
    <w:p w14:paraId="4AF607B9" w14:textId="279D4B81" w:rsidR="000D0460" w:rsidRDefault="00FB6CD4" w:rsidP="00FB6CD4">
      <w:pPr>
        <w:pStyle w:val="Prrafodelista"/>
        <w:spacing w:line="360" w:lineRule="auto"/>
        <w:jc w:val="both"/>
        <w:rPr>
          <w:rFonts w:ascii="Humanst521 BT" w:hAnsi="Humanst521 BT"/>
          <w:sz w:val="24"/>
          <w:szCs w:val="24"/>
        </w:rPr>
      </w:pPr>
      <w:r w:rsidRPr="00FB6CD4">
        <w:rPr>
          <w:rFonts w:ascii="Humanst521 BT" w:hAnsi="Humanst521 BT"/>
          <w:sz w:val="24"/>
          <w:szCs w:val="24"/>
        </w:rPr>
        <w:t>Se basa en un enfoque multidisciplinario, permitiendo la participación de diferentes áreas dentro de una organización para una evaluación más completa.</w:t>
      </w:r>
    </w:p>
    <w:p w14:paraId="1B3167B8" w14:textId="77777777" w:rsidR="003C06A9" w:rsidRDefault="003C06A9" w:rsidP="003C06A9">
      <w:pPr>
        <w:pStyle w:val="Prrafodelista"/>
        <w:spacing w:line="360" w:lineRule="auto"/>
        <w:jc w:val="both"/>
        <w:rPr>
          <w:rFonts w:ascii="Humanst521 BT" w:hAnsi="Humanst521 BT"/>
          <w:sz w:val="24"/>
          <w:szCs w:val="24"/>
        </w:rPr>
      </w:pPr>
    </w:p>
    <w:p w14:paraId="2261CEF0" w14:textId="09118165" w:rsidR="003C06A9" w:rsidRPr="003C06A9" w:rsidRDefault="003C06A9" w:rsidP="003C06A9">
      <w:pPr>
        <w:pStyle w:val="Prrafodelista"/>
        <w:spacing w:line="360" w:lineRule="auto"/>
        <w:jc w:val="both"/>
        <w:rPr>
          <w:rFonts w:ascii="Humanst521 BT" w:hAnsi="Humanst521 BT"/>
          <w:sz w:val="24"/>
          <w:szCs w:val="24"/>
        </w:rPr>
      </w:pPr>
      <w:r w:rsidRPr="003C06A9">
        <w:rPr>
          <w:rFonts w:ascii="Humanst521 BT" w:hAnsi="Humanst521 BT"/>
          <w:sz w:val="24"/>
          <w:szCs w:val="24"/>
        </w:rPr>
        <w:t xml:space="preserve">Áreas de </w:t>
      </w:r>
      <w:r>
        <w:rPr>
          <w:rFonts w:ascii="Humanst521 BT" w:hAnsi="Humanst521 BT"/>
          <w:sz w:val="24"/>
          <w:szCs w:val="24"/>
        </w:rPr>
        <w:t>e</w:t>
      </w:r>
      <w:r w:rsidRPr="003C06A9">
        <w:rPr>
          <w:rFonts w:ascii="Humanst521 BT" w:hAnsi="Humanst521 BT"/>
          <w:sz w:val="24"/>
          <w:szCs w:val="24"/>
        </w:rPr>
        <w:t xml:space="preserve">nfoque y </w:t>
      </w:r>
      <w:r>
        <w:rPr>
          <w:rFonts w:ascii="Humanst521 BT" w:hAnsi="Humanst521 BT"/>
          <w:sz w:val="24"/>
          <w:szCs w:val="24"/>
        </w:rPr>
        <w:t>d</w:t>
      </w:r>
      <w:r w:rsidRPr="003C06A9">
        <w:rPr>
          <w:rFonts w:ascii="Humanst521 BT" w:hAnsi="Humanst521 BT"/>
          <w:sz w:val="24"/>
          <w:szCs w:val="24"/>
        </w:rPr>
        <w:t>imensiones</w:t>
      </w:r>
    </w:p>
    <w:p w14:paraId="1CFBF3E5" w14:textId="2030145D" w:rsidR="003C06A9" w:rsidRPr="00842ACE" w:rsidRDefault="003C06A9" w:rsidP="003C06A9">
      <w:pPr>
        <w:pStyle w:val="Prrafodelista"/>
        <w:spacing w:line="360" w:lineRule="auto"/>
        <w:jc w:val="both"/>
        <w:rPr>
          <w:rFonts w:ascii="Humanst521 BT" w:hAnsi="Humanst521 BT"/>
          <w:sz w:val="24"/>
          <w:szCs w:val="24"/>
          <w:u w:val="single"/>
        </w:rPr>
      </w:pPr>
      <w:r w:rsidRPr="00842ACE">
        <w:rPr>
          <w:rFonts w:ascii="Humanst521 BT" w:hAnsi="Humanst521 BT"/>
          <w:sz w:val="24"/>
          <w:szCs w:val="24"/>
          <w:u w:val="single"/>
        </w:rPr>
        <w:t>Organización</w:t>
      </w:r>
    </w:p>
    <w:p w14:paraId="6173F593"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3C06A9">
        <w:rPr>
          <w:rFonts w:ascii="Humanst521 BT" w:hAnsi="Humanst521 BT"/>
          <w:sz w:val="24"/>
          <w:szCs w:val="24"/>
        </w:rPr>
        <w:t>Soporte de gestión: La capacidad de la alta dirección para respaldar y promover la gestión de incidentes.</w:t>
      </w:r>
    </w:p>
    <w:p w14:paraId="0C261662"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Descripción del servicio: Claridad en los servicios ofrecidos y cómo se gestionan los incidentes.</w:t>
      </w:r>
    </w:p>
    <w:p w14:paraId="48DE181B"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Responsabilidad: Definición clara de roles y responsabilidades en la gestión de incidentes.</w:t>
      </w:r>
    </w:p>
    <w:p w14:paraId="3DCA7A37"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Disponibilidad de emergencia: Preparación para situaciones de emergencia y la capacidad de respuesta rápida.</w:t>
      </w:r>
    </w:p>
    <w:p w14:paraId="6C74AD65"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Clasificación de incidentes: Proceso para categorizar incidentes según su gravedad y tipo.</w:t>
      </w:r>
    </w:p>
    <w:p w14:paraId="70EBBB6C"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Política de seguridad: Existencia y aplicación de políticas de seguridad que guíen la gestión de incidentes.</w:t>
      </w:r>
    </w:p>
    <w:p w14:paraId="0ADC7E8D" w14:textId="32228241" w:rsidR="003C06A9"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Colaboración externa: Capacidad para trabajar con entidades externas, como otros CSIRT o agencias de seguridad.</w:t>
      </w:r>
    </w:p>
    <w:p w14:paraId="7D4D0918" w14:textId="77777777" w:rsidR="00842ACE" w:rsidRPr="00842ACE" w:rsidRDefault="00842ACE" w:rsidP="00842ACE">
      <w:pPr>
        <w:pStyle w:val="Prrafodelista"/>
        <w:spacing w:line="360" w:lineRule="auto"/>
        <w:ind w:left="1080"/>
        <w:jc w:val="both"/>
        <w:rPr>
          <w:rFonts w:ascii="Humanst521 BT" w:hAnsi="Humanst521 BT"/>
          <w:sz w:val="24"/>
          <w:szCs w:val="24"/>
        </w:rPr>
      </w:pPr>
    </w:p>
    <w:p w14:paraId="4C092DFA" w14:textId="5F56EBAF" w:rsidR="003C06A9" w:rsidRPr="00842ACE" w:rsidRDefault="003C06A9" w:rsidP="00842ACE">
      <w:pPr>
        <w:pStyle w:val="Prrafodelista"/>
        <w:spacing w:line="360" w:lineRule="auto"/>
        <w:jc w:val="both"/>
        <w:rPr>
          <w:rFonts w:ascii="Humanst521 BT" w:hAnsi="Humanst521 BT"/>
          <w:sz w:val="24"/>
          <w:szCs w:val="24"/>
          <w:u w:val="single"/>
        </w:rPr>
      </w:pPr>
      <w:r w:rsidRPr="00842ACE">
        <w:rPr>
          <w:rFonts w:ascii="Humanst521 BT" w:hAnsi="Humanst521 BT"/>
          <w:sz w:val="24"/>
          <w:szCs w:val="24"/>
          <w:u w:val="single"/>
        </w:rPr>
        <w:t>Humanos</w:t>
      </w:r>
    </w:p>
    <w:p w14:paraId="3DD8C0B2"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3C06A9">
        <w:rPr>
          <w:rFonts w:ascii="Humanst521 BT" w:hAnsi="Humanst521 BT"/>
          <w:sz w:val="24"/>
          <w:szCs w:val="24"/>
        </w:rPr>
        <w:t>Conciencia de seguridad: Nivel de conocimiento y comprensión de la seguridad entre los empleados.</w:t>
      </w:r>
    </w:p>
    <w:p w14:paraId="10292099"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Cultura de comunicación: Efectividad de la comunicación interna sobre incidentes y seguridad.</w:t>
      </w:r>
    </w:p>
    <w:p w14:paraId="3C083A8C"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Cooperación interna: Colaboración entre diferentes departamentos y equipos en la gestión de incidentes.</w:t>
      </w:r>
    </w:p>
    <w:p w14:paraId="6BE55CCE"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lastRenderedPageBreak/>
        <w:t>Resiliencia del personal: Capacidad del personal para adaptarse y recuperarse de incidentes.</w:t>
      </w:r>
    </w:p>
    <w:p w14:paraId="6D164134"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Características del personal: Habilidades y competencias del personal involucrado en la gestión de incidentes.</w:t>
      </w:r>
    </w:p>
    <w:p w14:paraId="7241FD3A" w14:textId="2D428C89" w:rsidR="003C06A9"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Oportunidades de capacitación: Disponibilidad de formación y desarrollo profesional en gestión de incidentes.</w:t>
      </w:r>
    </w:p>
    <w:p w14:paraId="185EF343" w14:textId="77777777" w:rsidR="00842ACE" w:rsidRPr="00842ACE" w:rsidRDefault="00842ACE" w:rsidP="00842ACE">
      <w:pPr>
        <w:pStyle w:val="Prrafodelista"/>
        <w:spacing w:line="360" w:lineRule="auto"/>
        <w:ind w:left="1080"/>
        <w:jc w:val="both"/>
        <w:rPr>
          <w:rFonts w:ascii="Humanst521 BT" w:hAnsi="Humanst521 BT"/>
          <w:sz w:val="24"/>
          <w:szCs w:val="24"/>
        </w:rPr>
      </w:pPr>
    </w:p>
    <w:p w14:paraId="56E08EE7" w14:textId="36256714" w:rsidR="003C06A9" w:rsidRPr="00842ACE" w:rsidRDefault="003C06A9" w:rsidP="00842ACE">
      <w:pPr>
        <w:pStyle w:val="Prrafodelista"/>
        <w:spacing w:line="360" w:lineRule="auto"/>
        <w:jc w:val="both"/>
        <w:rPr>
          <w:rFonts w:ascii="Humanst521 BT" w:hAnsi="Humanst521 BT"/>
          <w:sz w:val="24"/>
          <w:szCs w:val="24"/>
          <w:u w:val="single"/>
        </w:rPr>
      </w:pPr>
      <w:r w:rsidRPr="00842ACE">
        <w:rPr>
          <w:rFonts w:ascii="Humanst521 BT" w:hAnsi="Humanst521 BT"/>
          <w:sz w:val="24"/>
          <w:szCs w:val="24"/>
          <w:u w:val="single"/>
        </w:rPr>
        <w:t>Herramientas</w:t>
      </w:r>
    </w:p>
    <w:p w14:paraId="1E3B02DF"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3C06A9">
        <w:rPr>
          <w:rFonts w:ascii="Humanst521 BT" w:hAnsi="Humanst521 BT"/>
          <w:sz w:val="24"/>
          <w:szCs w:val="24"/>
        </w:rPr>
        <w:t>Recursos de TI: Infraestructura tecnológica disponible para la gestión de incidentes.</w:t>
      </w:r>
    </w:p>
    <w:p w14:paraId="1C794E4F"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Equipo de trabajo (sistemas): Sistemas y software utilizados para la gestión de incidentes.</w:t>
      </w:r>
    </w:p>
    <w:p w14:paraId="5A9015F5"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Equipo de trabajo (personal): Personal asignado a la gestión de incidentes y su capacitación.</w:t>
      </w:r>
    </w:p>
    <w:p w14:paraId="744D3577"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Conjunto de herramientas de prevención: Herramientas utilizadas para prevenir incidentes.</w:t>
      </w:r>
    </w:p>
    <w:p w14:paraId="3FD90693"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Conjunto de herramientas de detección: Herramientas para identificar y detectar incidentes.</w:t>
      </w:r>
    </w:p>
    <w:p w14:paraId="07F81798"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Sistemas de seguimiento: Herramientas para monitorear incidentes y su resolución.</w:t>
      </w:r>
    </w:p>
    <w:p w14:paraId="3D17E3C3" w14:textId="77777777" w:rsidR="00842ACE"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Conjunto de herramientas de resolución: Herramientas para gestionar y resolver incidentes.</w:t>
      </w:r>
    </w:p>
    <w:p w14:paraId="375D2AE9" w14:textId="39D1B4F5" w:rsidR="003C06A9" w:rsidRDefault="003C06A9" w:rsidP="00842ACE">
      <w:pPr>
        <w:pStyle w:val="Prrafodelista"/>
        <w:numPr>
          <w:ilvl w:val="0"/>
          <w:numId w:val="4"/>
        </w:numPr>
        <w:spacing w:line="360" w:lineRule="auto"/>
        <w:jc w:val="both"/>
        <w:rPr>
          <w:rFonts w:ascii="Humanst521 BT" w:hAnsi="Humanst521 BT"/>
          <w:sz w:val="24"/>
          <w:szCs w:val="24"/>
        </w:rPr>
      </w:pPr>
      <w:r w:rsidRPr="00842ACE">
        <w:rPr>
          <w:rFonts w:ascii="Humanst521 BT" w:hAnsi="Humanst521 BT"/>
          <w:sz w:val="24"/>
          <w:szCs w:val="24"/>
        </w:rPr>
        <w:t>Sistema de documentación: Mecanismos para documentar incidentes y lecciones aprendidas.</w:t>
      </w:r>
    </w:p>
    <w:p w14:paraId="2BD8F366" w14:textId="77777777" w:rsidR="00842ACE" w:rsidRPr="00842ACE" w:rsidRDefault="00842ACE" w:rsidP="00842ACE">
      <w:pPr>
        <w:pStyle w:val="Prrafodelista"/>
        <w:spacing w:line="360" w:lineRule="auto"/>
        <w:ind w:left="1080"/>
        <w:jc w:val="both"/>
        <w:rPr>
          <w:rFonts w:ascii="Humanst521 BT" w:hAnsi="Humanst521 BT"/>
          <w:sz w:val="24"/>
          <w:szCs w:val="24"/>
        </w:rPr>
      </w:pPr>
    </w:p>
    <w:p w14:paraId="271027DC" w14:textId="22F0BC20" w:rsidR="003C06A9" w:rsidRPr="00842ACE" w:rsidRDefault="003C06A9" w:rsidP="00842ACE">
      <w:pPr>
        <w:pStyle w:val="Prrafodelista"/>
        <w:spacing w:line="360" w:lineRule="auto"/>
        <w:jc w:val="both"/>
        <w:rPr>
          <w:rFonts w:ascii="Humanst521 BT" w:hAnsi="Humanst521 BT"/>
          <w:sz w:val="24"/>
          <w:szCs w:val="24"/>
          <w:u w:val="single"/>
        </w:rPr>
      </w:pPr>
      <w:r w:rsidRPr="00842ACE">
        <w:rPr>
          <w:rFonts w:ascii="Humanst521 BT" w:hAnsi="Humanst521 BT"/>
          <w:sz w:val="24"/>
          <w:szCs w:val="24"/>
          <w:u w:val="single"/>
        </w:rPr>
        <w:t>Procesos</w:t>
      </w:r>
    </w:p>
    <w:p w14:paraId="6678DF37" w14:textId="77777777" w:rsidR="006564A5" w:rsidRDefault="006564A5" w:rsidP="006564A5">
      <w:pPr>
        <w:pStyle w:val="Prrafodelista"/>
        <w:numPr>
          <w:ilvl w:val="0"/>
          <w:numId w:val="4"/>
        </w:numPr>
        <w:spacing w:line="360" w:lineRule="auto"/>
        <w:jc w:val="both"/>
        <w:rPr>
          <w:rFonts w:ascii="Humanst521 BT" w:hAnsi="Humanst521 BT"/>
          <w:sz w:val="24"/>
          <w:szCs w:val="24"/>
        </w:rPr>
      </w:pPr>
      <w:r w:rsidRPr="006564A5">
        <w:rPr>
          <w:rFonts w:ascii="Humanst521 BT" w:hAnsi="Humanst521 BT"/>
          <w:sz w:val="24"/>
          <w:szCs w:val="24"/>
        </w:rPr>
        <w:t xml:space="preserve">Prevención de </w:t>
      </w:r>
      <w:r>
        <w:rPr>
          <w:rFonts w:ascii="Humanst521 BT" w:hAnsi="Humanst521 BT"/>
          <w:sz w:val="24"/>
          <w:szCs w:val="24"/>
        </w:rPr>
        <w:t>i</w:t>
      </w:r>
      <w:r w:rsidRPr="006564A5">
        <w:rPr>
          <w:rFonts w:ascii="Humanst521 BT" w:hAnsi="Humanst521 BT"/>
          <w:sz w:val="24"/>
          <w:szCs w:val="24"/>
        </w:rPr>
        <w:t>ncidentes: Medidas y procedimientos para evitar que ocurran incidentes, incluyendo capacitación y mejoras en la infraestructura de seguridad.</w:t>
      </w:r>
    </w:p>
    <w:p w14:paraId="1BBDC7E3" w14:textId="77777777" w:rsidR="006564A5" w:rsidRDefault="006564A5" w:rsidP="006564A5">
      <w:pPr>
        <w:pStyle w:val="Prrafodelista"/>
        <w:numPr>
          <w:ilvl w:val="0"/>
          <w:numId w:val="4"/>
        </w:numPr>
        <w:spacing w:line="360" w:lineRule="auto"/>
        <w:jc w:val="both"/>
        <w:rPr>
          <w:rFonts w:ascii="Humanst521 BT" w:hAnsi="Humanst521 BT"/>
          <w:sz w:val="24"/>
          <w:szCs w:val="24"/>
        </w:rPr>
      </w:pPr>
      <w:r w:rsidRPr="006564A5">
        <w:rPr>
          <w:rFonts w:ascii="Humanst521 BT" w:hAnsi="Humanst521 BT"/>
          <w:sz w:val="24"/>
          <w:szCs w:val="24"/>
        </w:rPr>
        <w:t xml:space="preserve">Detección de </w:t>
      </w:r>
      <w:r>
        <w:rPr>
          <w:rFonts w:ascii="Humanst521 BT" w:hAnsi="Humanst521 BT"/>
          <w:sz w:val="24"/>
          <w:szCs w:val="24"/>
        </w:rPr>
        <w:t>i</w:t>
      </w:r>
      <w:r w:rsidRPr="006564A5">
        <w:rPr>
          <w:rFonts w:ascii="Humanst521 BT" w:hAnsi="Humanst521 BT"/>
          <w:sz w:val="24"/>
          <w:szCs w:val="24"/>
        </w:rPr>
        <w:t>ncidentes: Herramientas y procesos para identificar incidentes de manera oportuna</w:t>
      </w:r>
      <w:r>
        <w:rPr>
          <w:rFonts w:ascii="Humanst521 BT" w:hAnsi="Humanst521 BT"/>
          <w:sz w:val="24"/>
          <w:szCs w:val="24"/>
        </w:rPr>
        <w:t>.</w:t>
      </w:r>
    </w:p>
    <w:p w14:paraId="72D9FAD1" w14:textId="77777777" w:rsidR="006564A5" w:rsidRDefault="006564A5" w:rsidP="006564A5">
      <w:pPr>
        <w:pStyle w:val="Prrafodelista"/>
        <w:numPr>
          <w:ilvl w:val="0"/>
          <w:numId w:val="4"/>
        </w:numPr>
        <w:spacing w:line="360" w:lineRule="auto"/>
        <w:jc w:val="both"/>
        <w:rPr>
          <w:rFonts w:ascii="Humanst521 BT" w:hAnsi="Humanst521 BT"/>
          <w:sz w:val="24"/>
          <w:szCs w:val="24"/>
        </w:rPr>
      </w:pPr>
      <w:r w:rsidRPr="006564A5">
        <w:rPr>
          <w:rFonts w:ascii="Humanst521 BT" w:hAnsi="Humanst521 BT"/>
          <w:sz w:val="24"/>
          <w:szCs w:val="24"/>
        </w:rPr>
        <w:lastRenderedPageBreak/>
        <w:t>Escalamiento de incidentes: Procedimientos para gestionar incidentes a medida que se agravan, asegurando que las partes interesadas sean alertadas.</w:t>
      </w:r>
    </w:p>
    <w:p w14:paraId="5EF9537C" w14:textId="77777777" w:rsidR="006564A5" w:rsidRDefault="006564A5" w:rsidP="006564A5">
      <w:pPr>
        <w:pStyle w:val="Prrafodelista"/>
        <w:numPr>
          <w:ilvl w:val="0"/>
          <w:numId w:val="4"/>
        </w:numPr>
        <w:spacing w:line="360" w:lineRule="auto"/>
        <w:jc w:val="both"/>
        <w:rPr>
          <w:rFonts w:ascii="Humanst521 BT" w:hAnsi="Humanst521 BT"/>
          <w:sz w:val="24"/>
          <w:szCs w:val="24"/>
        </w:rPr>
      </w:pPr>
      <w:r w:rsidRPr="006564A5">
        <w:rPr>
          <w:rFonts w:ascii="Humanst521 BT" w:hAnsi="Humanst521 BT"/>
          <w:sz w:val="24"/>
          <w:szCs w:val="24"/>
        </w:rPr>
        <w:t xml:space="preserve">Resolución de </w:t>
      </w:r>
      <w:r>
        <w:rPr>
          <w:rFonts w:ascii="Humanst521 BT" w:hAnsi="Humanst521 BT"/>
          <w:sz w:val="24"/>
          <w:szCs w:val="24"/>
        </w:rPr>
        <w:t>i</w:t>
      </w:r>
      <w:r w:rsidRPr="006564A5">
        <w:rPr>
          <w:rFonts w:ascii="Humanst521 BT" w:hAnsi="Humanst521 BT"/>
          <w:sz w:val="24"/>
          <w:szCs w:val="24"/>
        </w:rPr>
        <w:t>ncidentes: Medidas y herramientas para contener y erradicar incidentes, facilitando la reanudación de operaciones normales.</w:t>
      </w:r>
    </w:p>
    <w:p w14:paraId="6DB7C409" w14:textId="77777777" w:rsidR="006564A5" w:rsidRDefault="006564A5" w:rsidP="006564A5">
      <w:pPr>
        <w:pStyle w:val="Prrafodelista"/>
        <w:numPr>
          <w:ilvl w:val="0"/>
          <w:numId w:val="4"/>
        </w:numPr>
        <w:spacing w:line="360" w:lineRule="auto"/>
        <w:jc w:val="both"/>
        <w:rPr>
          <w:rFonts w:ascii="Humanst521 BT" w:hAnsi="Humanst521 BT"/>
          <w:sz w:val="24"/>
          <w:szCs w:val="24"/>
        </w:rPr>
      </w:pPr>
      <w:r w:rsidRPr="006564A5">
        <w:rPr>
          <w:rFonts w:ascii="Humanst521 BT" w:hAnsi="Humanst521 BT"/>
          <w:sz w:val="24"/>
          <w:szCs w:val="24"/>
        </w:rPr>
        <w:t>Reflexión sobre incidentes: Aprendizaje de incidentes pasados para mejorar la gestión de respuesta a incidentes y evitar errores repetidos.</w:t>
      </w:r>
    </w:p>
    <w:p w14:paraId="4772CE5C" w14:textId="77777777" w:rsidR="00556740" w:rsidRDefault="006564A5" w:rsidP="00556740">
      <w:pPr>
        <w:pStyle w:val="Prrafodelista"/>
        <w:numPr>
          <w:ilvl w:val="0"/>
          <w:numId w:val="4"/>
        </w:numPr>
        <w:spacing w:line="360" w:lineRule="auto"/>
        <w:jc w:val="both"/>
        <w:rPr>
          <w:rFonts w:ascii="Humanst521 BT" w:hAnsi="Humanst521 BT"/>
          <w:sz w:val="24"/>
          <w:szCs w:val="24"/>
        </w:rPr>
      </w:pPr>
      <w:r w:rsidRPr="006564A5">
        <w:rPr>
          <w:rFonts w:ascii="Humanst521 BT" w:hAnsi="Humanst521 BT"/>
          <w:sz w:val="24"/>
          <w:szCs w:val="24"/>
        </w:rPr>
        <w:t>Auditoría: Evaluaciones internas y externas de los procedimientos de IRM para asegurar su efectividad y cumplimiento.</w:t>
      </w:r>
    </w:p>
    <w:p w14:paraId="1BA74185" w14:textId="77777777" w:rsidR="00556740" w:rsidRDefault="006564A5" w:rsidP="00556740">
      <w:pPr>
        <w:pStyle w:val="Prrafodelista"/>
        <w:numPr>
          <w:ilvl w:val="0"/>
          <w:numId w:val="4"/>
        </w:numPr>
        <w:spacing w:line="360" w:lineRule="auto"/>
        <w:jc w:val="both"/>
        <w:rPr>
          <w:rFonts w:ascii="Humanst521 BT" w:hAnsi="Humanst521 BT"/>
          <w:sz w:val="24"/>
          <w:szCs w:val="24"/>
        </w:rPr>
      </w:pPr>
      <w:r w:rsidRPr="00556740">
        <w:rPr>
          <w:rFonts w:ascii="Humanst521 BT" w:hAnsi="Humanst521 BT"/>
          <w:sz w:val="24"/>
          <w:szCs w:val="24"/>
        </w:rPr>
        <w:t xml:space="preserve">Adquisición de </w:t>
      </w:r>
      <w:r w:rsidR="00556740" w:rsidRPr="00556740">
        <w:rPr>
          <w:rFonts w:ascii="Humanst521 BT" w:hAnsi="Humanst521 BT"/>
          <w:sz w:val="24"/>
          <w:szCs w:val="24"/>
        </w:rPr>
        <w:t>c</w:t>
      </w:r>
      <w:r w:rsidRPr="00556740">
        <w:rPr>
          <w:rFonts w:ascii="Humanst521 BT" w:hAnsi="Humanst521 BT"/>
          <w:sz w:val="24"/>
          <w:szCs w:val="24"/>
        </w:rPr>
        <w:t>onocimiento: Generación y adquisición de conocimiento sobre incidentes y vulnerabilidades, incluyendo la consulta de fuentes externas y el intercambio de experiencias.</w:t>
      </w:r>
    </w:p>
    <w:p w14:paraId="2EEE1C38" w14:textId="00B606D7" w:rsidR="003C06A9" w:rsidRPr="00556740" w:rsidRDefault="006564A5" w:rsidP="00556740">
      <w:pPr>
        <w:pStyle w:val="Prrafodelista"/>
        <w:numPr>
          <w:ilvl w:val="0"/>
          <w:numId w:val="4"/>
        </w:numPr>
        <w:spacing w:line="360" w:lineRule="auto"/>
        <w:jc w:val="both"/>
        <w:rPr>
          <w:rFonts w:ascii="Humanst521 BT" w:hAnsi="Humanst521 BT"/>
          <w:sz w:val="24"/>
          <w:szCs w:val="24"/>
        </w:rPr>
      </w:pPr>
      <w:r w:rsidRPr="00556740">
        <w:rPr>
          <w:rFonts w:ascii="Humanst521 BT" w:hAnsi="Humanst521 BT"/>
          <w:sz w:val="24"/>
          <w:szCs w:val="24"/>
        </w:rPr>
        <w:t xml:space="preserve">Comunicación </w:t>
      </w:r>
      <w:r w:rsidR="00556740">
        <w:rPr>
          <w:rFonts w:ascii="Humanst521 BT" w:hAnsi="Humanst521 BT"/>
          <w:sz w:val="24"/>
          <w:szCs w:val="24"/>
        </w:rPr>
        <w:t>e</w:t>
      </w:r>
      <w:r w:rsidRPr="00556740">
        <w:rPr>
          <w:rFonts w:ascii="Humanst521 BT" w:hAnsi="Humanst521 BT"/>
          <w:sz w:val="24"/>
          <w:szCs w:val="24"/>
        </w:rPr>
        <w:t>xterna: Capacidad para gestionar la comunicación post-incidente, informando a clientes y partes interesadas para mitigar daños a la reputación.</w:t>
      </w:r>
    </w:p>
    <w:p w14:paraId="797B0683" w14:textId="56795060"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Fortalezas</w:t>
      </w:r>
    </w:p>
    <w:p w14:paraId="073EB286" w14:textId="6B58B90D" w:rsidR="00F81682" w:rsidRPr="001200BF" w:rsidRDefault="001200BF" w:rsidP="008A0719">
      <w:pPr>
        <w:pStyle w:val="Prrafodelista"/>
        <w:spacing w:line="360" w:lineRule="auto"/>
        <w:jc w:val="both"/>
        <w:rPr>
          <w:rFonts w:ascii="Humanst521 BT" w:hAnsi="Humanst521 BT"/>
          <w:sz w:val="24"/>
          <w:szCs w:val="24"/>
        </w:rPr>
      </w:pPr>
      <w:r w:rsidRPr="001200BF">
        <w:rPr>
          <w:rFonts w:ascii="Humanst521 BT" w:hAnsi="Humanst521 BT"/>
          <w:sz w:val="24"/>
          <w:szCs w:val="24"/>
        </w:rPr>
        <w:t>El modelo ofrece valor tanto descriptivo, al evaluar el estado actual de las capacidades de respuesta a incidentes, como prescriptivo, al proporcionar directrices sobre las capacidades necesarias para una gestión exitosa</w:t>
      </w:r>
    </w:p>
    <w:p w14:paraId="7558BCFB" w14:textId="2040F840" w:rsidR="001200BF" w:rsidRDefault="00F038E2" w:rsidP="008A0719">
      <w:pPr>
        <w:pStyle w:val="Prrafodelista"/>
        <w:spacing w:line="360" w:lineRule="auto"/>
        <w:jc w:val="both"/>
        <w:rPr>
          <w:rFonts w:ascii="Humanst521 BT" w:hAnsi="Humanst521 BT"/>
          <w:sz w:val="24"/>
          <w:szCs w:val="24"/>
        </w:rPr>
      </w:pPr>
      <w:r w:rsidRPr="00F038E2">
        <w:rPr>
          <w:rFonts w:ascii="Humanst521 BT" w:hAnsi="Humanst521 BT"/>
          <w:sz w:val="24"/>
          <w:szCs w:val="24"/>
        </w:rPr>
        <w:t>Se ha diseñado el modelo para ser fácil de usar y comprensible para los profesionales, lo que facilita su implementación y adopción en diversas organizaciones</w:t>
      </w:r>
    </w:p>
    <w:p w14:paraId="162CB628" w14:textId="77777777" w:rsidR="00F038E2" w:rsidRPr="00F038E2" w:rsidRDefault="00F038E2" w:rsidP="008A0719">
      <w:pPr>
        <w:pStyle w:val="Prrafodelista"/>
        <w:spacing w:line="360" w:lineRule="auto"/>
        <w:jc w:val="both"/>
        <w:rPr>
          <w:rFonts w:ascii="Humanst521 BT" w:hAnsi="Humanst521 BT"/>
          <w:sz w:val="24"/>
          <w:szCs w:val="24"/>
        </w:rPr>
      </w:pPr>
    </w:p>
    <w:p w14:paraId="27D41128" w14:textId="4F2FB869"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Debilidades</w:t>
      </w:r>
    </w:p>
    <w:p w14:paraId="2C0C5E85" w14:textId="77777777" w:rsidR="0066609F" w:rsidRPr="0066609F" w:rsidRDefault="0066609F" w:rsidP="0066609F">
      <w:pPr>
        <w:pStyle w:val="Prrafodelista"/>
        <w:spacing w:line="360" w:lineRule="auto"/>
        <w:jc w:val="both"/>
        <w:rPr>
          <w:rFonts w:ascii="Humanst521 BT" w:hAnsi="Humanst521 BT"/>
          <w:sz w:val="24"/>
          <w:szCs w:val="24"/>
        </w:rPr>
      </w:pPr>
      <w:r w:rsidRPr="0066609F">
        <w:rPr>
          <w:rFonts w:ascii="Humanst521 BT" w:hAnsi="Humanst521 BT"/>
          <w:sz w:val="24"/>
          <w:szCs w:val="24"/>
        </w:rPr>
        <w:t>Las organizaciones con un nivel de madurez muy alto en IRM pueden no obtener un valor agregado significativo del modelo, ya que ya han implementado muchas de las capacidades en su nivel más alto. Esto implica que el modelo tiene un valor limitado para estas empresas.</w:t>
      </w:r>
    </w:p>
    <w:p w14:paraId="653EE0A4" w14:textId="3B399B6C" w:rsidR="000845BD" w:rsidRPr="0066609F" w:rsidRDefault="0066609F" w:rsidP="0066609F">
      <w:pPr>
        <w:pStyle w:val="Prrafodelista"/>
        <w:spacing w:line="360" w:lineRule="auto"/>
        <w:jc w:val="both"/>
        <w:rPr>
          <w:rFonts w:ascii="Humanst521 BT" w:hAnsi="Humanst521 BT"/>
          <w:sz w:val="24"/>
          <w:szCs w:val="24"/>
        </w:rPr>
      </w:pPr>
      <w:r w:rsidRPr="0066609F">
        <w:rPr>
          <w:rFonts w:ascii="Humanst521 BT" w:hAnsi="Humanst521 BT"/>
          <w:sz w:val="24"/>
          <w:szCs w:val="24"/>
        </w:rPr>
        <w:t>Existe la preocupación de que el modelo IRM3 pueda volverse obsoleto en el futuro debido a la tendencia hacia una mayor seguridad de TI. A medida que más organizaciones alcanzan un estado maduro en IRM, la necesidad del modelo podría disminuir</w:t>
      </w:r>
    </w:p>
    <w:p w14:paraId="0C726BD9" w14:textId="77777777" w:rsidR="00461F20" w:rsidRPr="00B10708" w:rsidRDefault="00461F20" w:rsidP="00F902FD">
      <w:pPr>
        <w:pStyle w:val="Prrafodelista"/>
        <w:spacing w:line="360" w:lineRule="auto"/>
        <w:jc w:val="both"/>
        <w:rPr>
          <w:rFonts w:ascii="Humanst521 BT" w:hAnsi="Humanst521 BT"/>
          <w:b/>
          <w:bCs/>
          <w:sz w:val="24"/>
          <w:szCs w:val="24"/>
        </w:rPr>
      </w:pPr>
    </w:p>
    <w:p w14:paraId="641E95E7" w14:textId="5386F1DA"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lastRenderedPageBreak/>
        <w:t xml:space="preserve">Relevancia </w:t>
      </w:r>
    </w:p>
    <w:p w14:paraId="7E549191" w14:textId="68B9123B" w:rsidR="00A90623" w:rsidRPr="00530463" w:rsidRDefault="00530463" w:rsidP="00A90623">
      <w:pPr>
        <w:pStyle w:val="Prrafodelista"/>
        <w:spacing w:line="360" w:lineRule="auto"/>
        <w:jc w:val="both"/>
        <w:rPr>
          <w:rFonts w:ascii="Humanst521 BT" w:hAnsi="Humanst521 BT"/>
          <w:sz w:val="24"/>
          <w:szCs w:val="24"/>
        </w:rPr>
      </w:pPr>
      <w:r w:rsidRPr="00530463">
        <w:rPr>
          <w:rFonts w:ascii="Humanst521 BT" w:hAnsi="Humanst521 BT"/>
          <w:sz w:val="24"/>
          <w:szCs w:val="24"/>
        </w:rPr>
        <w:t>El modelo es relevante en el contexto actual de ciberseguridad, donde las organizaciones enfrentan amenazas crecientes y necesitan estar preparadas para responder a incidentes de manera efectiva</w:t>
      </w:r>
    </w:p>
    <w:p w14:paraId="59DF84C4" w14:textId="77777777" w:rsidR="00A90623" w:rsidRPr="00220E8A" w:rsidRDefault="00A90623" w:rsidP="00A90623">
      <w:pPr>
        <w:pStyle w:val="Prrafodelista"/>
        <w:spacing w:line="360" w:lineRule="auto"/>
        <w:jc w:val="both"/>
        <w:rPr>
          <w:rFonts w:ascii="Humanst521 BT" w:hAnsi="Humanst521 BT"/>
          <w:sz w:val="24"/>
          <w:szCs w:val="24"/>
        </w:rPr>
      </w:pPr>
    </w:p>
    <w:p w14:paraId="17E75B15" w14:textId="4110F7E0" w:rsidR="00545470"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Aplicabilidad</w:t>
      </w:r>
    </w:p>
    <w:p w14:paraId="74A3D4EB" w14:textId="357425B4" w:rsidR="00530463" w:rsidRPr="00DB48A9" w:rsidRDefault="00DB48A9" w:rsidP="00530463">
      <w:pPr>
        <w:pStyle w:val="Prrafodelista"/>
        <w:spacing w:line="360" w:lineRule="auto"/>
        <w:jc w:val="both"/>
        <w:rPr>
          <w:rFonts w:ascii="Humanst521 BT" w:hAnsi="Humanst521 BT"/>
          <w:sz w:val="24"/>
          <w:szCs w:val="24"/>
        </w:rPr>
      </w:pPr>
      <w:r w:rsidRPr="00DB48A9">
        <w:rPr>
          <w:rFonts w:ascii="Humanst521 BT" w:hAnsi="Humanst521 BT"/>
          <w:sz w:val="24"/>
          <w:szCs w:val="24"/>
        </w:rPr>
        <w:t>El modelo ha demostrado ser aplicable en diferentes contextos organizacionales, independientemente del sector, lo que lo hace versátil y útil para una amplia gama de empresas</w:t>
      </w:r>
    </w:p>
    <w:p w14:paraId="5B8E8878" w14:textId="77777777" w:rsidR="005C4FA4" w:rsidRPr="005C4FA4" w:rsidRDefault="005C4FA4" w:rsidP="005C4FA4">
      <w:pPr>
        <w:pStyle w:val="Prrafodelista"/>
        <w:spacing w:line="360" w:lineRule="auto"/>
        <w:jc w:val="both"/>
        <w:rPr>
          <w:rFonts w:ascii="Humanst521 BT" w:hAnsi="Humanst521 BT"/>
          <w:sz w:val="24"/>
          <w:szCs w:val="24"/>
        </w:rPr>
      </w:pPr>
    </w:p>
    <w:p w14:paraId="1A1EC61B" w14:textId="7A3B739B"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Aporte</w:t>
      </w:r>
    </w:p>
    <w:p w14:paraId="7EB23956" w14:textId="43BF5A61" w:rsidR="000D0460" w:rsidRPr="0050031C" w:rsidRDefault="0050031C" w:rsidP="0050031C">
      <w:pPr>
        <w:pStyle w:val="Prrafodelista"/>
        <w:spacing w:line="360" w:lineRule="auto"/>
        <w:jc w:val="both"/>
        <w:rPr>
          <w:rFonts w:ascii="Humanst521 BT" w:hAnsi="Humanst521 BT"/>
          <w:sz w:val="24"/>
          <w:szCs w:val="24"/>
        </w:rPr>
      </w:pPr>
      <w:r w:rsidRPr="0050031C">
        <w:rPr>
          <w:rFonts w:ascii="Humanst521 BT" w:hAnsi="Humanst521 BT"/>
          <w:sz w:val="24"/>
          <w:szCs w:val="24"/>
        </w:rPr>
        <w:t>El modelo contribuye a la mejora de las capacidades de respuesta a incidentes, proporcionando un marco estructurado que permite a las organizaciones evaluar y desarrollar sus competencias en esta área</w:t>
      </w:r>
    </w:p>
    <w:p w14:paraId="34D23118" w14:textId="77777777" w:rsidR="000D0460" w:rsidRDefault="000D0460" w:rsidP="000D0460">
      <w:pPr>
        <w:pStyle w:val="Prrafodelista"/>
        <w:spacing w:line="360" w:lineRule="auto"/>
        <w:jc w:val="both"/>
        <w:rPr>
          <w:rFonts w:ascii="Humanst521 BT" w:hAnsi="Humanst521 BT"/>
          <w:b/>
          <w:bCs/>
          <w:sz w:val="24"/>
          <w:szCs w:val="24"/>
        </w:rPr>
      </w:pPr>
    </w:p>
    <w:p w14:paraId="7EBC6FE3" w14:textId="081CF383"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Implementació</w:t>
      </w:r>
      <w:r w:rsidR="000D0460">
        <w:rPr>
          <w:rFonts w:ascii="Humanst521 BT" w:hAnsi="Humanst521 BT"/>
          <w:b/>
          <w:bCs/>
          <w:sz w:val="24"/>
          <w:szCs w:val="24"/>
        </w:rPr>
        <w:t>n</w:t>
      </w:r>
    </w:p>
    <w:p w14:paraId="1AD39BFD" w14:textId="6239FD10" w:rsidR="0005720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Fase 1: Definición del </w:t>
      </w:r>
      <w:r>
        <w:rPr>
          <w:rFonts w:ascii="Humanst521 BT" w:hAnsi="Humanst521 BT"/>
          <w:sz w:val="24"/>
          <w:szCs w:val="24"/>
        </w:rPr>
        <w:t>p</w:t>
      </w:r>
      <w:r w:rsidRPr="0005720E">
        <w:rPr>
          <w:rFonts w:ascii="Humanst521 BT" w:hAnsi="Humanst521 BT"/>
          <w:sz w:val="24"/>
          <w:szCs w:val="24"/>
        </w:rPr>
        <w:t>roblema</w:t>
      </w:r>
    </w:p>
    <w:p w14:paraId="431402B7" w14:textId="77777777" w:rsid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Se identificó la necesidad de un modelo de madurez que aborde las capacidades necesarias para la gestión de respuesta a incidentes (IRM) en las organizaciones.</w:t>
      </w:r>
    </w:p>
    <w:p w14:paraId="26703927" w14:textId="77777777" w:rsidR="008F2547" w:rsidRPr="0005720E" w:rsidRDefault="008F2547" w:rsidP="0005720E">
      <w:pPr>
        <w:pStyle w:val="Prrafodelista"/>
        <w:spacing w:line="360" w:lineRule="auto"/>
        <w:jc w:val="both"/>
        <w:rPr>
          <w:rFonts w:ascii="Humanst521 BT" w:hAnsi="Humanst521 BT"/>
          <w:sz w:val="24"/>
          <w:szCs w:val="24"/>
        </w:rPr>
      </w:pPr>
    </w:p>
    <w:p w14:paraId="71B8FD18" w14:textId="40CFAA73" w:rsidR="0005720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Fase 2: Revisión de la </w:t>
      </w:r>
      <w:r w:rsidR="008F2547">
        <w:rPr>
          <w:rFonts w:ascii="Humanst521 BT" w:hAnsi="Humanst521 BT"/>
          <w:sz w:val="24"/>
          <w:szCs w:val="24"/>
        </w:rPr>
        <w:t>l</w:t>
      </w:r>
      <w:r w:rsidRPr="0005720E">
        <w:rPr>
          <w:rFonts w:ascii="Humanst521 BT" w:hAnsi="Humanst521 BT"/>
          <w:sz w:val="24"/>
          <w:szCs w:val="24"/>
        </w:rPr>
        <w:t>iteratura</w:t>
      </w:r>
    </w:p>
    <w:p w14:paraId="60D28105" w14:textId="77777777" w:rsid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Se realizó una revisión exhaustiva de la literatura existente sobre modelos de madurez y gestión de respuesta a incidentes para fundamentar el desarrollo del modelo.</w:t>
      </w:r>
    </w:p>
    <w:p w14:paraId="75DE38A5" w14:textId="77777777" w:rsidR="008F2547" w:rsidRPr="0005720E" w:rsidRDefault="008F2547" w:rsidP="0005720E">
      <w:pPr>
        <w:pStyle w:val="Prrafodelista"/>
        <w:spacing w:line="360" w:lineRule="auto"/>
        <w:jc w:val="both"/>
        <w:rPr>
          <w:rFonts w:ascii="Humanst521 BT" w:hAnsi="Humanst521 BT"/>
          <w:sz w:val="24"/>
          <w:szCs w:val="24"/>
        </w:rPr>
      </w:pPr>
    </w:p>
    <w:p w14:paraId="06AC8E09" w14:textId="4DD93458" w:rsidR="0005720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Fase 3: Desarrollo del </w:t>
      </w:r>
      <w:r w:rsidR="008F2547">
        <w:rPr>
          <w:rFonts w:ascii="Humanst521 BT" w:hAnsi="Humanst521 BT"/>
          <w:sz w:val="24"/>
          <w:szCs w:val="24"/>
        </w:rPr>
        <w:t>m</w:t>
      </w:r>
      <w:r w:rsidRPr="0005720E">
        <w:rPr>
          <w:rFonts w:ascii="Humanst521 BT" w:hAnsi="Humanst521 BT"/>
          <w:sz w:val="24"/>
          <w:szCs w:val="24"/>
        </w:rPr>
        <w:t>odelo</w:t>
      </w:r>
    </w:p>
    <w:p w14:paraId="24D1B45B" w14:textId="15D407AB" w:rsid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Se definieron 29 dimensiones de capacidad y se establecieron cuatro áreas de enfoque (organización, humanos, herramientas y procesos) que guiarían la evaluación de las capacidades de </w:t>
      </w:r>
      <w:r w:rsidR="008F2547" w:rsidRPr="0005720E">
        <w:rPr>
          <w:rFonts w:ascii="Humanst521 BT" w:hAnsi="Humanst521 BT"/>
          <w:sz w:val="24"/>
          <w:szCs w:val="24"/>
        </w:rPr>
        <w:t>IRM.</w:t>
      </w:r>
    </w:p>
    <w:p w14:paraId="125BF356" w14:textId="77777777" w:rsidR="008F2547" w:rsidRPr="0005720E" w:rsidRDefault="008F2547" w:rsidP="0005720E">
      <w:pPr>
        <w:pStyle w:val="Prrafodelista"/>
        <w:spacing w:line="360" w:lineRule="auto"/>
        <w:jc w:val="both"/>
        <w:rPr>
          <w:rFonts w:ascii="Humanst521 BT" w:hAnsi="Humanst521 BT"/>
          <w:sz w:val="24"/>
          <w:szCs w:val="24"/>
        </w:rPr>
      </w:pPr>
    </w:p>
    <w:p w14:paraId="1C00CCAB" w14:textId="434322D7" w:rsidR="0005720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lastRenderedPageBreak/>
        <w:t xml:space="preserve">Fase 4: Transferencia a </w:t>
      </w:r>
      <w:r w:rsidR="008F2547">
        <w:rPr>
          <w:rFonts w:ascii="Humanst521 BT" w:hAnsi="Humanst521 BT"/>
          <w:sz w:val="24"/>
          <w:szCs w:val="24"/>
        </w:rPr>
        <w:t>h</w:t>
      </w:r>
      <w:r w:rsidRPr="0005720E">
        <w:rPr>
          <w:rFonts w:ascii="Humanst521 BT" w:hAnsi="Humanst521 BT"/>
          <w:sz w:val="24"/>
          <w:szCs w:val="24"/>
        </w:rPr>
        <w:t xml:space="preserve">erramienta de </w:t>
      </w:r>
      <w:r w:rsidR="008F2547">
        <w:rPr>
          <w:rFonts w:ascii="Humanst521 BT" w:hAnsi="Humanst521 BT"/>
          <w:sz w:val="24"/>
          <w:szCs w:val="24"/>
        </w:rPr>
        <w:t>e</w:t>
      </w:r>
      <w:r w:rsidRPr="0005720E">
        <w:rPr>
          <w:rFonts w:ascii="Humanst521 BT" w:hAnsi="Humanst521 BT"/>
          <w:sz w:val="24"/>
          <w:szCs w:val="24"/>
        </w:rPr>
        <w:t>ncuesta</w:t>
      </w:r>
    </w:p>
    <w:p w14:paraId="65B88C24" w14:textId="6872F9C2" w:rsid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El modelo fue traducido a una herramienta de encuesta en línea, permitiendo a las organizaciones realizar una autoevaluación de sus capacidades de IRM de manera estructurada y </w:t>
      </w:r>
      <w:r w:rsidR="008F2547" w:rsidRPr="0005720E">
        <w:rPr>
          <w:rFonts w:ascii="Humanst521 BT" w:hAnsi="Humanst521 BT"/>
          <w:sz w:val="24"/>
          <w:szCs w:val="24"/>
        </w:rPr>
        <w:t>accesible.</w:t>
      </w:r>
    </w:p>
    <w:p w14:paraId="5F19EAAE" w14:textId="77777777" w:rsidR="008F2547" w:rsidRPr="0005720E" w:rsidRDefault="008F2547" w:rsidP="0005720E">
      <w:pPr>
        <w:pStyle w:val="Prrafodelista"/>
        <w:spacing w:line="360" w:lineRule="auto"/>
        <w:jc w:val="both"/>
        <w:rPr>
          <w:rFonts w:ascii="Humanst521 BT" w:hAnsi="Humanst521 BT"/>
          <w:sz w:val="24"/>
          <w:szCs w:val="24"/>
        </w:rPr>
      </w:pPr>
    </w:p>
    <w:p w14:paraId="73E540FA" w14:textId="2308710F" w:rsidR="0005720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Fase 5: Validación del </w:t>
      </w:r>
      <w:r w:rsidR="008F2547">
        <w:rPr>
          <w:rFonts w:ascii="Humanst521 BT" w:hAnsi="Humanst521 BT"/>
          <w:sz w:val="24"/>
          <w:szCs w:val="24"/>
        </w:rPr>
        <w:t>m</w:t>
      </w:r>
      <w:r w:rsidRPr="0005720E">
        <w:rPr>
          <w:rFonts w:ascii="Humanst521 BT" w:hAnsi="Humanst521 BT"/>
          <w:sz w:val="24"/>
          <w:szCs w:val="24"/>
        </w:rPr>
        <w:t>odelo</w:t>
      </w:r>
    </w:p>
    <w:p w14:paraId="3CFAB959" w14:textId="37C2772D" w:rsid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La herramienta fue probada y validada por profesionales del sector, asegurando su aplicabilidad y utilidad en contextos del mundo real. Se realizaron entrevistas con expertos para obtener retroalimentación sobre el diseño y la aplicabilidad del </w:t>
      </w:r>
      <w:r w:rsidR="008F2547" w:rsidRPr="0005720E">
        <w:rPr>
          <w:rFonts w:ascii="Humanst521 BT" w:hAnsi="Humanst521 BT"/>
          <w:sz w:val="24"/>
          <w:szCs w:val="24"/>
        </w:rPr>
        <w:t>modelo.</w:t>
      </w:r>
    </w:p>
    <w:p w14:paraId="7C5B0976" w14:textId="77777777" w:rsidR="008F2547" w:rsidRPr="0005720E" w:rsidRDefault="008F2547" w:rsidP="0005720E">
      <w:pPr>
        <w:pStyle w:val="Prrafodelista"/>
        <w:spacing w:line="360" w:lineRule="auto"/>
        <w:jc w:val="both"/>
        <w:rPr>
          <w:rFonts w:ascii="Humanst521 BT" w:hAnsi="Humanst521 BT"/>
          <w:sz w:val="24"/>
          <w:szCs w:val="24"/>
        </w:rPr>
      </w:pPr>
    </w:p>
    <w:p w14:paraId="79A54EFD" w14:textId="7F1CDAC1" w:rsidR="0005720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Fase 6: Aplicación en </w:t>
      </w:r>
      <w:r w:rsidR="008F2547">
        <w:rPr>
          <w:rFonts w:ascii="Humanst521 BT" w:hAnsi="Humanst521 BT"/>
          <w:sz w:val="24"/>
          <w:szCs w:val="24"/>
        </w:rPr>
        <w:t>o</w:t>
      </w:r>
      <w:r w:rsidRPr="0005720E">
        <w:rPr>
          <w:rFonts w:ascii="Humanst521 BT" w:hAnsi="Humanst521 BT"/>
          <w:sz w:val="24"/>
          <w:szCs w:val="24"/>
        </w:rPr>
        <w:t xml:space="preserve">rganizaciones </w:t>
      </w:r>
      <w:r w:rsidR="008F2547">
        <w:rPr>
          <w:rFonts w:ascii="Humanst521 BT" w:hAnsi="Humanst521 BT"/>
          <w:sz w:val="24"/>
          <w:szCs w:val="24"/>
        </w:rPr>
        <w:t>r</w:t>
      </w:r>
      <w:r w:rsidRPr="0005720E">
        <w:rPr>
          <w:rFonts w:ascii="Humanst521 BT" w:hAnsi="Humanst521 BT"/>
          <w:sz w:val="24"/>
          <w:szCs w:val="24"/>
        </w:rPr>
        <w:t>eales</w:t>
      </w:r>
    </w:p>
    <w:p w14:paraId="55D440F0" w14:textId="6FC75FB2" w:rsid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El modelo fue aplicado en siete organizaciones alemanas de diferentes industrias y tamaños para evaluar su efectividad y valor práctico. Esta fase incluyó una evaluación naturalista del IRM3 en un entorno </w:t>
      </w:r>
      <w:r w:rsidR="008F2547" w:rsidRPr="0005720E">
        <w:rPr>
          <w:rFonts w:ascii="Humanst521 BT" w:hAnsi="Humanst521 BT"/>
          <w:sz w:val="24"/>
          <w:szCs w:val="24"/>
        </w:rPr>
        <w:t>real.</w:t>
      </w:r>
    </w:p>
    <w:p w14:paraId="2E4871F3" w14:textId="77777777" w:rsidR="008F2547" w:rsidRPr="0005720E" w:rsidRDefault="008F2547" w:rsidP="0005720E">
      <w:pPr>
        <w:pStyle w:val="Prrafodelista"/>
        <w:spacing w:line="360" w:lineRule="auto"/>
        <w:jc w:val="both"/>
        <w:rPr>
          <w:rFonts w:ascii="Humanst521 BT" w:hAnsi="Humanst521 BT"/>
          <w:sz w:val="24"/>
          <w:szCs w:val="24"/>
        </w:rPr>
      </w:pPr>
    </w:p>
    <w:p w14:paraId="4ACC08EF" w14:textId="4BD02E8D" w:rsidR="0005720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Fase 7: Evaluación y </w:t>
      </w:r>
      <w:r w:rsidR="008F2547">
        <w:rPr>
          <w:rFonts w:ascii="Humanst521 BT" w:hAnsi="Humanst521 BT"/>
          <w:sz w:val="24"/>
          <w:szCs w:val="24"/>
        </w:rPr>
        <w:t>m</w:t>
      </w:r>
      <w:r w:rsidRPr="0005720E">
        <w:rPr>
          <w:rFonts w:ascii="Humanst521 BT" w:hAnsi="Humanst521 BT"/>
          <w:sz w:val="24"/>
          <w:szCs w:val="24"/>
        </w:rPr>
        <w:t xml:space="preserve">ejora </w:t>
      </w:r>
      <w:r w:rsidR="008F2547">
        <w:rPr>
          <w:rFonts w:ascii="Humanst521 BT" w:hAnsi="Humanst521 BT"/>
          <w:sz w:val="24"/>
          <w:szCs w:val="24"/>
        </w:rPr>
        <w:t>c</w:t>
      </w:r>
      <w:r w:rsidRPr="0005720E">
        <w:rPr>
          <w:rFonts w:ascii="Humanst521 BT" w:hAnsi="Humanst521 BT"/>
          <w:sz w:val="24"/>
          <w:szCs w:val="24"/>
        </w:rPr>
        <w:t>ontinua</w:t>
      </w:r>
    </w:p>
    <w:p w14:paraId="107F992F" w14:textId="0B13BE62" w:rsid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Se llevó a cabo una evaluación continua del modelo, considerando la retroalimentación de las organizaciones participantes y ajustando el modelo según sea necesario para mejorar su aplicabilidad y </w:t>
      </w:r>
      <w:r w:rsidR="008F2547" w:rsidRPr="0005720E">
        <w:rPr>
          <w:rFonts w:ascii="Humanst521 BT" w:hAnsi="Humanst521 BT"/>
          <w:sz w:val="24"/>
          <w:szCs w:val="24"/>
        </w:rPr>
        <w:t>efectividad.</w:t>
      </w:r>
    </w:p>
    <w:p w14:paraId="0EEAB9E1" w14:textId="77777777" w:rsidR="008F2547" w:rsidRPr="0005720E" w:rsidRDefault="008F2547" w:rsidP="0005720E">
      <w:pPr>
        <w:pStyle w:val="Prrafodelista"/>
        <w:spacing w:line="360" w:lineRule="auto"/>
        <w:jc w:val="both"/>
        <w:rPr>
          <w:rFonts w:ascii="Humanst521 BT" w:hAnsi="Humanst521 BT"/>
          <w:sz w:val="24"/>
          <w:szCs w:val="24"/>
        </w:rPr>
      </w:pPr>
    </w:p>
    <w:p w14:paraId="0A246A2F" w14:textId="64D9E4FD" w:rsidR="0005720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 xml:space="preserve">Fase 8: Documentación y </w:t>
      </w:r>
      <w:r w:rsidR="008F2547">
        <w:rPr>
          <w:rFonts w:ascii="Humanst521 BT" w:hAnsi="Humanst521 BT"/>
          <w:sz w:val="24"/>
          <w:szCs w:val="24"/>
        </w:rPr>
        <w:t>d</w:t>
      </w:r>
      <w:r w:rsidRPr="0005720E">
        <w:rPr>
          <w:rFonts w:ascii="Humanst521 BT" w:hAnsi="Humanst521 BT"/>
          <w:sz w:val="24"/>
          <w:szCs w:val="24"/>
        </w:rPr>
        <w:t>ifusión</w:t>
      </w:r>
    </w:p>
    <w:p w14:paraId="443BE0C2" w14:textId="320A32D7" w:rsidR="00F806CE" w:rsidRPr="0005720E" w:rsidRDefault="0005720E" w:rsidP="0005720E">
      <w:pPr>
        <w:pStyle w:val="Prrafodelista"/>
        <w:spacing w:line="360" w:lineRule="auto"/>
        <w:jc w:val="both"/>
        <w:rPr>
          <w:rFonts w:ascii="Humanst521 BT" w:hAnsi="Humanst521 BT"/>
          <w:sz w:val="24"/>
          <w:szCs w:val="24"/>
        </w:rPr>
      </w:pPr>
      <w:r w:rsidRPr="0005720E">
        <w:rPr>
          <w:rFonts w:ascii="Humanst521 BT" w:hAnsi="Humanst521 BT"/>
          <w:sz w:val="24"/>
          <w:szCs w:val="24"/>
        </w:rPr>
        <w:t>Finalmente, se documentaron los hallazgos y se difundieron los resultados del desarrollo y la evaluación del modelo, contribuyendo al cuerpo de conocimiento existente en la gestión de respuesta a incidentes</w:t>
      </w:r>
    </w:p>
    <w:p w14:paraId="5753DC6F" w14:textId="77777777" w:rsidR="001B6543" w:rsidRPr="00B10708" w:rsidRDefault="001B6543" w:rsidP="001B6543">
      <w:pPr>
        <w:pStyle w:val="Prrafodelista"/>
        <w:spacing w:line="360" w:lineRule="auto"/>
        <w:jc w:val="both"/>
        <w:rPr>
          <w:rFonts w:ascii="Humanst521 BT" w:hAnsi="Humanst521 BT"/>
          <w:b/>
          <w:bCs/>
          <w:sz w:val="24"/>
          <w:szCs w:val="24"/>
        </w:rPr>
      </w:pPr>
    </w:p>
    <w:p w14:paraId="2B1F528D" w14:textId="2556A3F3"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Gráfico del modelo</w:t>
      </w:r>
    </w:p>
    <w:p w14:paraId="6EB0AFB7" w14:textId="29E34027" w:rsidR="00F9147F" w:rsidRPr="00762038" w:rsidRDefault="00762038" w:rsidP="00762038">
      <w:pPr>
        <w:spacing w:line="360" w:lineRule="auto"/>
        <w:ind w:left="360"/>
        <w:jc w:val="both"/>
        <w:rPr>
          <w:rFonts w:ascii="Humanst521 BT" w:hAnsi="Humanst521 BT"/>
          <w:b/>
          <w:bCs/>
          <w:sz w:val="24"/>
          <w:szCs w:val="24"/>
        </w:rPr>
      </w:pPr>
      <w:r w:rsidRPr="00762038">
        <w:rPr>
          <w:noProof/>
        </w:rPr>
        <w:lastRenderedPageBreak/>
        <w:drawing>
          <wp:inline distT="0" distB="0" distL="0" distR="0" wp14:anchorId="0E20E832" wp14:editId="1A9978D9">
            <wp:extent cx="5612130" cy="3085465"/>
            <wp:effectExtent l="0" t="0" r="7620" b="635"/>
            <wp:docPr id="1300832151"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832151" name="Imagen 1" descr="Tabla&#10;&#10;Descripción generada automáticamente"/>
                    <pic:cNvPicPr/>
                  </pic:nvPicPr>
                  <pic:blipFill>
                    <a:blip r:embed="rId5"/>
                    <a:stretch>
                      <a:fillRect/>
                    </a:stretch>
                  </pic:blipFill>
                  <pic:spPr>
                    <a:xfrm>
                      <a:off x="0" y="0"/>
                      <a:ext cx="5612130" cy="3085465"/>
                    </a:xfrm>
                    <a:prstGeom prst="rect">
                      <a:avLst/>
                    </a:prstGeom>
                  </pic:spPr>
                </pic:pic>
              </a:graphicData>
            </a:graphic>
          </wp:inline>
        </w:drawing>
      </w:r>
    </w:p>
    <w:p w14:paraId="3055009B" w14:textId="699B2969"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Interpretación de resultados</w:t>
      </w:r>
    </w:p>
    <w:p w14:paraId="388343D7" w14:textId="76C6F139" w:rsidR="009E0D72" w:rsidRPr="00541B4A" w:rsidRDefault="00483553" w:rsidP="00541B4A">
      <w:pPr>
        <w:spacing w:line="360" w:lineRule="auto"/>
        <w:ind w:left="1080"/>
        <w:jc w:val="both"/>
        <w:rPr>
          <w:rFonts w:ascii="Humanst521 BT" w:hAnsi="Humanst521 BT"/>
          <w:sz w:val="24"/>
          <w:szCs w:val="24"/>
        </w:rPr>
      </w:pPr>
      <w:r>
        <w:rPr>
          <w:rFonts w:ascii="Humanst521 BT" w:hAnsi="Humanst521 BT"/>
          <w:sz w:val="24"/>
          <w:szCs w:val="24"/>
        </w:rPr>
        <w:t>N/A</w:t>
      </w:r>
    </w:p>
    <w:p w14:paraId="4799045B" w14:textId="68951A93" w:rsidR="00975761" w:rsidRDefault="00975761" w:rsidP="00CC026D">
      <w:pPr>
        <w:pStyle w:val="Prrafodelista"/>
        <w:numPr>
          <w:ilvl w:val="0"/>
          <w:numId w:val="1"/>
        </w:numPr>
        <w:spacing w:line="360" w:lineRule="auto"/>
        <w:jc w:val="both"/>
        <w:rPr>
          <w:rFonts w:ascii="Humanst521 BT" w:hAnsi="Humanst521 BT"/>
          <w:b/>
          <w:bCs/>
          <w:sz w:val="24"/>
          <w:szCs w:val="24"/>
        </w:rPr>
      </w:pPr>
      <w:r w:rsidRPr="00B10708">
        <w:rPr>
          <w:rFonts w:ascii="Humanst521 BT" w:hAnsi="Humanst521 BT"/>
          <w:b/>
          <w:bCs/>
          <w:sz w:val="24"/>
          <w:szCs w:val="24"/>
        </w:rPr>
        <w:t>Forma de recolección de la información</w:t>
      </w:r>
    </w:p>
    <w:p w14:paraId="2AFCB33E" w14:textId="1A70E707" w:rsidR="00E16039" w:rsidRPr="00E16039" w:rsidRDefault="00E16039" w:rsidP="00E16039">
      <w:pPr>
        <w:pStyle w:val="Prrafodelista"/>
        <w:spacing w:line="360" w:lineRule="auto"/>
        <w:jc w:val="both"/>
        <w:rPr>
          <w:rFonts w:ascii="Humanst521 BT" w:hAnsi="Humanst521 BT"/>
          <w:sz w:val="24"/>
          <w:szCs w:val="24"/>
        </w:rPr>
      </w:pPr>
      <w:r w:rsidRPr="00E16039">
        <w:rPr>
          <w:rFonts w:ascii="Humanst521 BT" w:hAnsi="Humanst521 BT"/>
          <w:sz w:val="24"/>
          <w:szCs w:val="24"/>
        </w:rPr>
        <w:t xml:space="preserve">La implementación del modelo de madurez de gestión de respuesta a incidentes (IRM3) en las empresas se llevó a cabo de forma mixta. </w:t>
      </w:r>
    </w:p>
    <w:p w14:paraId="3B7513D6" w14:textId="77777777" w:rsidR="00E16039" w:rsidRPr="00E16039" w:rsidRDefault="00E16039" w:rsidP="00E16039">
      <w:pPr>
        <w:pStyle w:val="Prrafodelista"/>
        <w:spacing w:line="360" w:lineRule="auto"/>
        <w:jc w:val="both"/>
        <w:rPr>
          <w:rFonts w:ascii="Humanst521 BT" w:hAnsi="Humanst521 BT"/>
          <w:sz w:val="24"/>
          <w:szCs w:val="24"/>
        </w:rPr>
      </w:pPr>
    </w:p>
    <w:p w14:paraId="1586C911" w14:textId="5860F3AC" w:rsidR="00E16039" w:rsidRPr="00E16039" w:rsidRDefault="00E16039" w:rsidP="00E16039">
      <w:pPr>
        <w:pStyle w:val="Prrafodelista"/>
        <w:spacing w:line="360" w:lineRule="auto"/>
        <w:jc w:val="both"/>
        <w:rPr>
          <w:rFonts w:ascii="Humanst521 BT" w:hAnsi="Humanst521 BT"/>
          <w:sz w:val="24"/>
          <w:szCs w:val="24"/>
        </w:rPr>
      </w:pPr>
      <w:r w:rsidRPr="00E16039">
        <w:rPr>
          <w:rFonts w:ascii="Humanst521 BT" w:hAnsi="Humanst521 BT"/>
          <w:sz w:val="24"/>
          <w:szCs w:val="24"/>
          <w:u w:val="single"/>
        </w:rPr>
        <w:t>Evaluación cuantitativa:</w:t>
      </w:r>
      <w:r w:rsidRPr="00E16039">
        <w:rPr>
          <w:rFonts w:ascii="Humanst521 BT" w:hAnsi="Humanst521 BT"/>
          <w:sz w:val="24"/>
          <w:szCs w:val="24"/>
        </w:rPr>
        <w:t xml:space="preserve"> La herramienta de encuesta en línea permite a las organizaciones realizar una autoevaluación estructurada, lo que implica un enfoque cuantitativo al recopilar datos sobre las capacidades de IRM a través de respuestas a preguntas específicas.</w:t>
      </w:r>
    </w:p>
    <w:p w14:paraId="6EDC6039" w14:textId="77777777" w:rsidR="00E16039" w:rsidRPr="00E16039" w:rsidRDefault="00E16039" w:rsidP="00E16039">
      <w:pPr>
        <w:pStyle w:val="Prrafodelista"/>
        <w:spacing w:line="360" w:lineRule="auto"/>
        <w:jc w:val="both"/>
        <w:rPr>
          <w:rFonts w:ascii="Humanst521 BT" w:hAnsi="Humanst521 BT"/>
          <w:sz w:val="24"/>
          <w:szCs w:val="24"/>
        </w:rPr>
      </w:pPr>
    </w:p>
    <w:p w14:paraId="17645CC0" w14:textId="596508DC" w:rsidR="00E16039" w:rsidRPr="00E16039" w:rsidRDefault="00E16039" w:rsidP="00E16039">
      <w:pPr>
        <w:pStyle w:val="Prrafodelista"/>
        <w:spacing w:line="360" w:lineRule="auto"/>
        <w:jc w:val="both"/>
        <w:rPr>
          <w:rFonts w:ascii="Humanst521 BT" w:hAnsi="Humanst521 BT"/>
          <w:sz w:val="24"/>
          <w:szCs w:val="24"/>
        </w:rPr>
      </w:pPr>
      <w:r w:rsidRPr="00E16039">
        <w:rPr>
          <w:rFonts w:ascii="Humanst521 BT" w:hAnsi="Humanst521 BT"/>
          <w:sz w:val="24"/>
          <w:szCs w:val="24"/>
          <w:u w:val="single"/>
        </w:rPr>
        <w:t>Evaluación cualitativa:</w:t>
      </w:r>
      <w:r w:rsidRPr="00E16039">
        <w:rPr>
          <w:rFonts w:ascii="Humanst521 BT" w:hAnsi="Humanst521 BT"/>
          <w:sz w:val="24"/>
          <w:szCs w:val="24"/>
        </w:rPr>
        <w:t xml:space="preserve"> Además de la autoevaluación cuantitativa, se realizaron entrevistas con expertos y profesionales del sector para obtener retroalimentación sobre el diseño y la aplicabilidad del modelo. Esto proporciona un componente cualitativo que enriquece la comprensión de la efectividad del modelo en contextos reales.</w:t>
      </w:r>
    </w:p>
    <w:p w14:paraId="0046F6EA" w14:textId="77777777" w:rsidR="00E16039" w:rsidRPr="00E16039" w:rsidRDefault="00E16039" w:rsidP="00E16039">
      <w:pPr>
        <w:pStyle w:val="Prrafodelista"/>
        <w:spacing w:line="360" w:lineRule="auto"/>
        <w:jc w:val="both"/>
        <w:rPr>
          <w:rFonts w:ascii="Humanst521 BT" w:hAnsi="Humanst521 BT"/>
          <w:sz w:val="24"/>
          <w:szCs w:val="24"/>
        </w:rPr>
      </w:pPr>
    </w:p>
    <w:p w14:paraId="2438C404" w14:textId="1BADC5B3" w:rsidR="00CD6669" w:rsidRDefault="00E16039" w:rsidP="00E16039">
      <w:pPr>
        <w:pStyle w:val="Prrafodelista"/>
        <w:spacing w:line="360" w:lineRule="auto"/>
        <w:jc w:val="both"/>
        <w:rPr>
          <w:rFonts w:ascii="Humanst521 BT" w:hAnsi="Humanst521 BT"/>
          <w:sz w:val="24"/>
          <w:szCs w:val="24"/>
        </w:rPr>
      </w:pPr>
      <w:r w:rsidRPr="00E16039">
        <w:rPr>
          <w:rFonts w:ascii="Humanst521 BT" w:hAnsi="Humanst521 BT"/>
          <w:sz w:val="24"/>
          <w:szCs w:val="24"/>
        </w:rPr>
        <w:lastRenderedPageBreak/>
        <w:t xml:space="preserve">Aplicación en </w:t>
      </w:r>
      <w:r>
        <w:rPr>
          <w:rFonts w:ascii="Humanst521 BT" w:hAnsi="Humanst521 BT"/>
          <w:sz w:val="24"/>
          <w:szCs w:val="24"/>
        </w:rPr>
        <w:t>o</w:t>
      </w:r>
      <w:r w:rsidRPr="00E16039">
        <w:rPr>
          <w:rFonts w:ascii="Humanst521 BT" w:hAnsi="Humanst521 BT"/>
          <w:sz w:val="24"/>
          <w:szCs w:val="24"/>
        </w:rPr>
        <w:t xml:space="preserve">rganizaciones </w:t>
      </w:r>
      <w:r>
        <w:rPr>
          <w:rFonts w:ascii="Humanst521 BT" w:hAnsi="Humanst521 BT"/>
          <w:sz w:val="24"/>
          <w:szCs w:val="24"/>
        </w:rPr>
        <w:t>r</w:t>
      </w:r>
      <w:r w:rsidRPr="00E16039">
        <w:rPr>
          <w:rFonts w:ascii="Humanst521 BT" w:hAnsi="Humanst521 BT"/>
          <w:sz w:val="24"/>
          <w:szCs w:val="24"/>
        </w:rPr>
        <w:t>eales: La aplicación del modelo en siete organizaciones alemanas incluyó tanto la recopilación de datos cuantitativos a través de la encuesta como la evaluación de la experiencia y las percepciones de los participantes, lo que refuerza el enfoque mixto</w:t>
      </w:r>
    </w:p>
    <w:p w14:paraId="70907D52" w14:textId="77777777" w:rsidR="00E16039" w:rsidRPr="00A15BF3" w:rsidRDefault="00E16039" w:rsidP="00A15BF3">
      <w:pPr>
        <w:pStyle w:val="Prrafodelista"/>
        <w:spacing w:line="360" w:lineRule="auto"/>
        <w:jc w:val="both"/>
        <w:rPr>
          <w:rFonts w:ascii="Humanst521 BT" w:hAnsi="Humanst521 BT"/>
          <w:sz w:val="24"/>
          <w:szCs w:val="24"/>
        </w:rPr>
      </w:pPr>
    </w:p>
    <w:p w14:paraId="703C6F03" w14:textId="0B75EFBB" w:rsidR="00BE40D4" w:rsidRPr="002E2345" w:rsidRDefault="00636BCE" w:rsidP="00636BCE">
      <w:pPr>
        <w:pStyle w:val="Prrafodelista"/>
        <w:numPr>
          <w:ilvl w:val="0"/>
          <w:numId w:val="1"/>
        </w:numPr>
        <w:spacing w:line="360" w:lineRule="auto"/>
        <w:jc w:val="both"/>
        <w:rPr>
          <w:rFonts w:ascii="Humanst521 BT" w:hAnsi="Humanst521 BT"/>
          <w:b/>
          <w:bCs/>
          <w:sz w:val="24"/>
          <w:szCs w:val="24"/>
        </w:rPr>
      </w:pPr>
      <w:r w:rsidRPr="002E2345">
        <w:rPr>
          <w:rFonts w:ascii="Humanst521 BT" w:hAnsi="Humanst521 BT"/>
          <w:b/>
          <w:bCs/>
          <w:sz w:val="24"/>
          <w:szCs w:val="24"/>
        </w:rPr>
        <w:t>Alcance de la evaluación del modelo en el artículo</w:t>
      </w:r>
    </w:p>
    <w:p w14:paraId="60A3132E" w14:textId="77777777" w:rsidR="00DF3888" w:rsidRDefault="00DF3888" w:rsidP="00DF3888">
      <w:pPr>
        <w:pStyle w:val="Prrafodelista"/>
        <w:spacing w:line="360" w:lineRule="auto"/>
        <w:jc w:val="both"/>
        <w:rPr>
          <w:rFonts w:ascii="Humanst521 BT" w:hAnsi="Humanst521 BT"/>
          <w:sz w:val="24"/>
          <w:szCs w:val="24"/>
        </w:rPr>
      </w:pPr>
      <w:r w:rsidRPr="00DF3888">
        <w:rPr>
          <w:rFonts w:ascii="Humanst521 BT" w:hAnsi="Humanst521 BT"/>
          <w:sz w:val="24"/>
          <w:szCs w:val="24"/>
        </w:rPr>
        <w:t xml:space="preserve">Modelo </w:t>
      </w:r>
    </w:p>
    <w:p w14:paraId="585C53AC" w14:textId="09C834ED" w:rsidR="00DF3888" w:rsidRPr="00DF3888" w:rsidRDefault="00DF3888" w:rsidP="00DF3888">
      <w:pPr>
        <w:pStyle w:val="Prrafodelista"/>
        <w:spacing w:line="360" w:lineRule="auto"/>
        <w:jc w:val="both"/>
        <w:rPr>
          <w:rFonts w:ascii="Humanst521 BT" w:hAnsi="Humanst521 BT"/>
          <w:sz w:val="24"/>
          <w:szCs w:val="24"/>
        </w:rPr>
      </w:pPr>
      <w:r w:rsidRPr="00DF3888">
        <w:rPr>
          <w:rFonts w:ascii="Humanst521 BT" w:hAnsi="Humanst521 BT"/>
          <w:sz w:val="24"/>
          <w:szCs w:val="24"/>
        </w:rPr>
        <w:t xml:space="preserve">Modelo e implementación </w:t>
      </w:r>
    </w:p>
    <w:p w14:paraId="729789FC" w14:textId="3C710F14" w:rsidR="00DF3888" w:rsidRPr="00DF3888" w:rsidRDefault="00DF3888" w:rsidP="00DF3888">
      <w:pPr>
        <w:pStyle w:val="Prrafodelista"/>
        <w:spacing w:line="360" w:lineRule="auto"/>
        <w:jc w:val="both"/>
        <w:rPr>
          <w:rFonts w:ascii="Humanst521 BT" w:hAnsi="Humanst521 BT"/>
          <w:sz w:val="24"/>
          <w:szCs w:val="24"/>
        </w:rPr>
      </w:pPr>
      <w:r w:rsidRPr="00DF3888">
        <w:rPr>
          <w:rFonts w:ascii="Humanst521 BT" w:hAnsi="Humanst521 BT"/>
          <w:sz w:val="24"/>
          <w:szCs w:val="24"/>
        </w:rPr>
        <w:t xml:space="preserve">Modelo, implementación y testeo (ponderación de factores) </w:t>
      </w:r>
    </w:p>
    <w:p w14:paraId="64B19D9A" w14:textId="2951BB6E" w:rsidR="00636BCE" w:rsidRDefault="00DF3888" w:rsidP="00DF3888">
      <w:pPr>
        <w:pStyle w:val="Prrafodelista"/>
        <w:spacing w:line="360" w:lineRule="auto"/>
        <w:jc w:val="both"/>
        <w:rPr>
          <w:rFonts w:ascii="Humanst521 BT" w:hAnsi="Humanst521 BT"/>
          <w:sz w:val="24"/>
          <w:szCs w:val="24"/>
        </w:rPr>
      </w:pPr>
      <w:r w:rsidRPr="00DF3888">
        <w:rPr>
          <w:rFonts w:ascii="Humanst521 BT" w:hAnsi="Humanst521 BT"/>
          <w:sz w:val="24"/>
          <w:szCs w:val="24"/>
        </w:rPr>
        <w:t>Modelo, implementación, testeo y evaluación</w:t>
      </w:r>
      <w:r w:rsidR="000D0460">
        <w:rPr>
          <w:rFonts w:ascii="Humanst521 BT" w:hAnsi="Humanst521 BT"/>
          <w:sz w:val="24"/>
          <w:szCs w:val="24"/>
        </w:rPr>
        <w:t>: X</w:t>
      </w:r>
    </w:p>
    <w:p w14:paraId="324C9D39" w14:textId="77777777" w:rsidR="00C9683D" w:rsidRDefault="00C9683D" w:rsidP="00DF3888">
      <w:pPr>
        <w:pStyle w:val="Prrafodelista"/>
        <w:spacing w:line="360" w:lineRule="auto"/>
        <w:jc w:val="both"/>
        <w:rPr>
          <w:rFonts w:ascii="Humanst521 BT" w:hAnsi="Humanst521 BT"/>
          <w:sz w:val="24"/>
          <w:szCs w:val="24"/>
        </w:rPr>
      </w:pPr>
    </w:p>
    <w:p w14:paraId="50819D83" w14:textId="4AEE5DFD" w:rsidR="00C9683D" w:rsidRPr="00DF3888" w:rsidRDefault="00C9683D" w:rsidP="00DF3888">
      <w:pPr>
        <w:pStyle w:val="Prrafodelista"/>
        <w:spacing w:line="360" w:lineRule="auto"/>
        <w:jc w:val="both"/>
        <w:rPr>
          <w:rFonts w:ascii="Humanst521 BT" w:hAnsi="Humanst521 BT"/>
          <w:sz w:val="24"/>
          <w:szCs w:val="24"/>
        </w:rPr>
      </w:pPr>
    </w:p>
    <w:sectPr w:rsidR="00C9683D" w:rsidRPr="00DF38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umanst521 BT">
    <w:panose1 w:val="020B0602020204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154DE"/>
    <w:multiLevelType w:val="hybridMultilevel"/>
    <w:tmpl w:val="7D94F434"/>
    <w:lvl w:ilvl="0" w:tplc="4D3A0AD2">
      <w:numFmt w:val="bullet"/>
      <w:lvlText w:val="-"/>
      <w:lvlJc w:val="left"/>
      <w:pPr>
        <w:ind w:left="1080" w:hanging="360"/>
      </w:pPr>
      <w:rPr>
        <w:rFonts w:ascii="Humanst521 BT" w:eastAsiaTheme="minorHAnsi" w:hAnsi="Humanst521 BT"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2D21054C"/>
    <w:multiLevelType w:val="hybridMultilevel"/>
    <w:tmpl w:val="5E1251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D2D505A"/>
    <w:multiLevelType w:val="hybridMultilevel"/>
    <w:tmpl w:val="B43AC14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47D320B1"/>
    <w:multiLevelType w:val="hybridMultilevel"/>
    <w:tmpl w:val="9CDC3B4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12585715">
    <w:abstractNumId w:val="1"/>
  </w:num>
  <w:num w:numId="2" w16cid:durableId="90398233">
    <w:abstractNumId w:val="2"/>
  </w:num>
  <w:num w:numId="3" w16cid:durableId="559099227">
    <w:abstractNumId w:val="3"/>
  </w:num>
  <w:num w:numId="4" w16cid:durableId="1896355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761"/>
    <w:rsid w:val="0002321B"/>
    <w:rsid w:val="0004075D"/>
    <w:rsid w:val="000433D5"/>
    <w:rsid w:val="0005720E"/>
    <w:rsid w:val="00063633"/>
    <w:rsid w:val="000760A5"/>
    <w:rsid w:val="00076B6C"/>
    <w:rsid w:val="000845BD"/>
    <w:rsid w:val="000D0460"/>
    <w:rsid w:val="00103B58"/>
    <w:rsid w:val="001200BF"/>
    <w:rsid w:val="00131A4C"/>
    <w:rsid w:val="00164135"/>
    <w:rsid w:val="001922D3"/>
    <w:rsid w:val="001B3B9F"/>
    <w:rsid w:val="001B6543"/>
    <w:rsid w:val="001B7AA5"/>
    <w:rsid w:val="001D36A6"/>
    <w:rsid w:val="00220E8A"/>
    <w:rsid w:val="0024031F"/>
    <w:rsid w:val="00287BE8"/>
    <w:rsid w:val="002E2345"/>
    <w:rsid w:val="002E4EF3"/>
    <w:rsid w:val="003C06A9"/>
    <w:rsid w:val="003C3C51"/>
    <w:rsid w:val="003D147E"/>
    <w:rsid w:val="004123F5"/>
    <w:rsid w:val="0042535E"/>
    <w:rsid w:val="00461F20"/>
    <w:rsid w:val="00465835"/>
    <w:rsid w:val="0047671F"/>
    <w:rsid w:val="00483553"/>
    <w:rsid w:val="004E42EE"/>
    <w:rsid w:val="004F6271"/>
    <w:rsid w:val="0050031C"/>
    <w:rsid w:val="00503DE7"/>
    <w:rsid w:val="00504B5C"/>
    <w:rsid w:val="00530463"/>
    <w:rsid w:val="00541B4A"/>
    <w:rsid w:val="00545470"/>
    <w:rsid w:val="00556740"/>
    <w:rsid w:val="00576B29"/>
    <w:rsid w:val="005839F2"/>
    <w:rsid w:val="005C4FA4"/>
    <w:rsid w:val="005F2AA3"/>
    <w:rsid w:val="00623500"/>
    <w:rsid w:val="00636BCE"/>
    <w:rsid w:val="006418AB"/>
    <w:rsid w:val="006564A5"/>
    <w:rsid w:val="0066609F"/>
    <w:rsid w:val="006F2796"/>
    <w:rsid w:val="00716589"/>
    <w:rsid w:val="00725372"/>
    <w:rsid w:val="0075282D"/>
    <w:rsid w:val="00762038"/>
    <w:rsid w:val="007631A3"/>
    <w:rsid w:val="00765CF8"/>
    <w:rsid w:val="00812C6B"/>
    <w:rsid w:val="00842ACE"/>
    <w:rsid w:val="008A0719"/>
    <w:rsid w:val="008B050F"/>
    <w:rsid w:val="008E5050"/>
    <w:rsid w:val="008F2547"/>
    <w:rsid w:val="00975761"/>
    <w:rsid w:val="009A7B3E"/>
    <w:rsid w:val="009D21F7"/>
    <w:rsid w:val="009E0D72"/>
    <w:rsid w:val="00A15BF3"/>
    <w:rsid w:val="00A90623"/>
    <w:rsid w:val="00AA30F2"/>
    <w:rsid w:val="00AB03F7"/>
    <w:rsid w:val="00AE3EF3"/>
    <w:rsid w:val="00B10708"/>
    <w:rsid w:val="00B163E0"/>
    <w:rsid w:val="00B712B0"/>
    <w:rsid w:val="00B717D9"/>
    <w:rsid w:val="00BA27E9"/>
    <w:rsid w:val="00BE40D4"/>
    <w:rsid w:val="00C214EA"/>
    <w:rsid w:val="00C9683D"/>
    <w:rsid w:val="00CC026D"/>
    <w:rsid w:val="00CD49AA"/>
    <w:rsid w:val="00CD6669"/>
    <w:rsid w:val="00DB48A9"/>
    <w:rsid w:val="00DE2D63"/>
    <w:rsid w:val="00DF3888"/>
    <w:rsid w:val="00DF463E"/>
    <w:rsid w:val="00DF783D"/>
    <w:rsid w:val="00E16039"/>
    <w:rsid w:val="00E27EF1"/>
    <w:rsid w:val="00E53C8C"/>
    <w:rsid w:val="00E85915"/>
    <w:rsid w:val="00EA2B50"/>
    <w:rsid w:val="00F038E2"/>
    <w:rsid w:val="00F400A3"/>
    <w:rsid w:val="00F576C1"/>
    <w:rsid w:val="00F806CE"/>
    <w:rsid w:val="00F81682"/>
    <w:rsid w:val="00F902FD"/>
    <w:rsid w:val="00F9147F"/>
    <w:rsid w:val="00FB6CD4"/>
    <w:rsid w:val="00FE0835"/>
    <w:rsid w:val="00FE62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D826"/>
  <w15:chartTrackingRefBased/>
  <w15:docId w15:val="{8C89FE19-EA5B-4195-8C32-A4AE1150E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757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757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7576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7576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7576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7576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7576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7576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7576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7576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7576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7576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7576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7576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7576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7576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7576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75761"/>
    <w:rPr>
      <w:rFonts w:eastAsiaTheme="majorEastAsia" w:cstheme="majorBidi"/>
      <w:color w:val="272727" w:themeColor="text1" w:themeTint="D8"/>
    </w:rPr>
  </w:style>
  <w:style w:type="paragraph" w:styleId="Ttulo">
    <w:name w:val="Title"/>
    <w:basedOn w:val="Normal"/>
    <w:next w:val="Normal"/>
    <w:link w:val="TtuloCar"/>
    <w:uiPriority w:val="10"/>
    <w:qFormat/>
    <w:rsid w:val="009757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7576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7576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7576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75761"/>
    <w:pPr>
      <w:spacing w:before="160"/>
      <w:jc w:val="center"/>
    </w:pPr>
    <w:rPr>
      <w:i/>
      <w:iCs/>
      <w:color w:val="404040" w:themeColor="text1" w:themeTint="BF"/>
    </w:rPr>
  </w:style>
  <w:style w:type="character" w:customStyle="1" w:styleId="CitaCar">
    <w:name w:val="Cita Car"/>
    <w:basedOn w:val="Fuentedeprrafopredeter"/>
    <w:link w:val="Cita"/>
    <w:uiPriority w:val="29"/>
    <w:rsid w:val="00975761"/>
    <w:rPr>
      <w:i/>
      <w:iCs/>
      <w:color w:val="404040" w:themeColor="text1" w:themeTint="BF"/>
    </w:rPr>
  </w:style>
  <w:style w:type="paragraph" w:styleId="Prrafodelista">
    <w:name w:val="List Paragraph"/>
    <w:basedOn w:val="Normal"/>
    <w:uiPriority w:val="34"/>
    <w:qFormat/>
    <w:rsid w:val="00975761"/>
    <w:pPr>
      <w:ind w:left="720"/>
      <w:contextualSpacing/>
    </w:pPr>
  </w:style>
  <w:style w:type="character" w:styleId="nfasisintenso">
    <w:name w:val="Intense Emphasis"/>
    <w:basedOn w:val="Fuentedeprrafopredeter"/>
    <w:uiPriority w:val="21"/>
    <w:qFormat/>
    <w:rsid w:val="00975761"/>
    <w:rPr>
      <w:i/>
      <w:iCs/>
      <w:color w:val="0F4761" w:themeColor="accent1" w:themeShade="BF"/>
    </w:rPr>
  </w:style>
  <w:style w:type="paragraph" w:styleId="Citadestacada">
    <w:name w:val="Intense Quote"/>
    <w:basedOn w:val="Normal"/>
    <w:next w:val="Normal"/>
    <w:link w:val="CitadestacadaCar"/>
    <w:uiPriority w:val="30"/>
    <w:qFormat/>
    <w:rsid w:val="009757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75761"/>
    <w:rPr>
      <w:i/>
      <w:iCs/>
      <w:color w:val="0F4761" w:themeColor="accent1" w:themeShade="BF"/>
    </w:rPr>
  </w:style>
  <w:style w:type="character" w:styleId="Referenciaintensa">
    <w:name w:val="Intense Reference"/>
    <w:basedOn w:val="Fuentedeprrafopredeter"/>
    <w:uiPriority w:val="32"/>
    <w:qFormat/>
    <w:rsid w:val="0097576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73150">
      <w:bodyDiv w:val="1"/>
      <w:marLeft w:val="0"/>
      <w:marRight w:val="0"/>
      <w:marTop w:val="0"/>
      <w:marBottom w:val="0"/>
      <w:divBdr>
        <w:top w:val="none" w:sz="0" w:space="0" w:color="auto"/>
        <w:left w:val="none" w:sz="0" w:space="0" w:color="auto"/>
        <w:bottom w:val="none" w:sz="0" w:space="0" w:color="auto"/>
        <w:right w:val="none" w:sz="0" w:space="0" w:color="auto"/>
      </w:divBdr>
      <w:divsChild>
        <w:div w:id="563298694">
          <w:marLeft w:val="0"/>
          <w:marRight w:val="0"/>
          <w:marTop w:val="0"/>
          <w:marBottom w:val="0"/>
          <w:divBdr>
            <w:top w:val="none" w:sz="0" w:space="0" w:color="auto"/>
            <w:left w:val="none" w:sz="0" w:space="0" w:color="auto"/>
            <w:bottom w:val="none" w:sz="0" w:space="0" w:color="auto"/>
            <w:right w:val="none" w:sz="0" w:space="0" w:color="auto"/>
          </w:divBdr>
        </w:div>
        <w:div w:id="1426538879">
          <w:marLeft w:val="0"/>
          <w:marRight w:val="0"/>
          <w:marTop w:val="0"/>
          <w:marBottom w:val="0"/>
          <w:divBdr>
            <w:top w:val="none" w:sz="0" w:space="0" w:color="auto"/>
            <w:left w:val="none" w:sz="0" w:space="0" w:color="auto"/>
            <w:bottom w:val="none" w:sz="0" w:space="0" w:color="auto"/>
            <w:right w:val="none" w:sz="0" w:space="0" w:color="auto"/>
          </w:divBdr>
        </w:div>
        <w:div w:id="780031912">
          <w:marLeft w:val="0"/>
          <w:marRight w:val="0"/>
          <w:marTop w:val="0"/>
          <w:marBottom w:val="0"/>
          <w:divBdr>
            <w:top w:val="none" w:sz="0" w:space="0" w:color="auto"/>
            <w:left w:val="none" w:sz="0" w:space="0" w:color="auto"/>
            <w:bottom w:val="none" w:sz="0" w:space="0" w:color="auto"/>
            <w:right w:val="none" w:sz="0" w:space="0" w:color="auto"/>
          </w:divBdr>
        </w:div>
        <w:div w:id="1639454361">
          <w:marLeft w:val="0"/>
          <w:marRight w:val="0"/>
          <w:marTop w:val="0"/>
          <w:marBottom w:val="0"/>
          <w:divBdr>
            <w:top w:val="none" w:sz="0" w:space="0" w:color="auto"/>
            <w:left w:val="none" w:sz="0" w:space="0" w:color="auto"/>
            <w:bottom w:val="none" w:sz="0" w:space="0" w:color="auto"/>
            <w:right w:val="none" w:sz="0" w:space="0" w:color="auto"/>
          </w:divBdr>
        </w:div>
      </w:divsChild>
    </w:div>
    <w:div w:id="1496452299">
      <w:bodyDiv w:val="1"/>
      <w:marLeft w:val="0"/>
      <w:marRight w:val="0"/>
      <w:marTop w:val="0"/>
      <w:marBottom w:val="0"/>
      <w:divBdr>
        <w:top w:val="none" w:sz="0" w:space="0" w:color="auto"/>
        <w:left w:val="none" w:sz="0" w:space="0" w:color="auto"/>
        <w:bottom w:val="none" w:sz="0" w:space="0" w:color="auto"/>
        <w:right w:val="none" w:sz="0" w:space="0" w:color="auto"/>
      </w:divBdr>
      <w:divsChild>
        <w:div w:id="531498823">
          <w:marLeft w:val="0"/>
          <w:marRight w:val="0"/>
          <w:marTop w:val="0"/>
          <w:marBottom w:val="0"/>
          <w:divBdr>
            <w:top w:val="none" w:sz="0" w:space="0" w:color="auto"/>
            <w:left w:val="none" w:sz="0" w:space="0" w:color="auto"/>
            <w:bottom w:val="none" w:sz="0" w:space="0" w:color="auto"/>
            <w:right w:val="none" w:sz="0" w:space="0" w:color="auto"/>
          </w:divBdr>
        </w:div>
        <w:div w:id="1051998295">
          <w:marLeft w:val="0"/>
          <w:marRight w:val="0"/>
          <w:marTop w:val="0"/>
          <w:marBottom w:val="0"/>
          <w:divBdr>
            <w:top w:val="none" w:sz="0" w:space="0" w:color="auto"/>
            <w:left w:val="none" w:sz="0" w:space="0" w:color="auto"/>
            <w:bottom w:val="none" w:sz="0" w:space="0" w:color="auto"/>
            <w:right w:val="none" w:sz="0" w:space="0" w:color="auto"/>
          </w:divBdr>
        </w:div>
        <w:div w:id="141044160">
          <w:marLeft w:val="0"/>
          <w:marRight w:val="0"/>
          <w:marTop w:val="0"/>
          <w:marBottom w:val="0"/>
          <w:divBdr>
            <w:top w:val="none" w:sz="0" w:space="0" w:color="auto"/>
            <w:left w:val="none" w:sz="0" w:space="0" w:color="auto"/>
            <w:bottom w:val="none" w:sz="0" w:space="0" w:color="auto"/>
            <w:right w:val="none" w:sz="0" w:space="0" w:color="auto"/>
          </w:divBdr>
        </w:div>
        <w:div w:id="136913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7</Pages>
  <Words>1278</Words>
  <Characters>7033</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92</cp:revision>
  <dcterms:created xsi:type="dcterms:W3CDTF">2024-08-05T00:51:00Z</dcterms:created>
  <dcterms:modified xsi:type="dcterms:W3CDTF">2024-08-08T02:19:00Z</dcterms:modified>
</cp:coreProperties>
</file>